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b w:val="0"/>
          <w:bCs/>
          <w:color w:val="000000"/>
          <w:spacing w:val="0"/>
          <w:kern w:val="0"/>
          <w:sz w:val="44"/>
          <w:szCs w:val="44"/>
          <w:lang w:val="en-US" w:eastAsia="zh-CN"/>
        </w:rPr>
      </w:pPr>
      <w:r>
        <w:rPr>
          <w:rFonts w:hint="eastAsia" w:ascii="方正小标宋简体" w:hAnsi="方正小标宋简体" w:eastAsia="方正小标宋简体" w:cs="方正小标宋简体"/>
          <w:b w:val="0"/>
          <w:bCs/>
          <w:color w:val="000000"/>
          <w:spacing w:val="0"/>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pacing w:val="0"/>
          <w:kern w:val="0"/>
          <w:sz w:val="44"/>
          <w:szCs w:val="44"/>
          <w:lang w:val="en-US" w:eastAsia="zh-CN"/>
        </w:rPr>
      </w:pPr>
      <w:bookmarkStart w:id="0" w:name="_GoBack"/>
      <w:r>
        <w:rPr>
          <w:rFonts w:hint="eastAsia" w:ascii="方正小标宋简体" w:hAnsi="方正小标宋简体" w:eastAsia="方正小标宋简体" w:cs="方正小标宋简体"/>
          <w:b w:val="0"/>
          <w:bCs/>
          <w:color w:val="000000"/>
          <w:spacing w:val="0"/>
          <w:kern w:val="0"/>
          <w:sz w:val="44"/>
          <w:szCs w:val="44"/>
          <w:lang w:val="en-US" w:eastAsia="zh-CN"/>
        </w:rPr>
        <w:t>灵武市人民法院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楷体简体" w:cs="宋体"/>
          <w:b w:val="0"/>
          <w:bCs/>
          <w:color w:val="000000"/>
          <w:spacing w:val="0"/>
          <w:kern w:val="0"/>
          <w:sz w:val="44"/>
          <w:szCs w:val="44"/>
        </w:rPr>
      </w:pPr>
      <w:r>
        <w:rPr>
          <w:rFonts w:hint="eastAsia" w:ascii="方正小标宋简体" w:hAnsi="方正小标宋简体" w:eastAsia="方正小标宋简体" w:cs="方正小标宋简体"/>
          <w:b w:val="0"/>
          <w:bCs/>
          <w:color w:val="000000"/>
          <w:spacing w:val="0"/>
          <w:kern w:val="0"/>
          <w:sz w:val="44"/>
          <w:szCs w:val="44"/>
          <w:lang w:val="en-US" w:eastAsia="zh-CN"/>
        </w:rPr>
        <w:t>2025年普法依法治理工作要点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cs="仿宋_GB2312"/>
          <w:b w:val="0"/>
          <w:bCs w:val="0"/>
          <w:spacing w:val="0"/>
          <w:sz w:val="32"/>
          <w:szCs w:val="32"/>
          <w:lang w:eastAsia="zh-CN"/>
        </w:rPr>
        <w:t>为深入学习宣传贯彻习近平法治思想，全面贯彻落实党的二十大和二十届二中、三中全会精神，紧紧围绕市委、市政府工作大局，以宣传贯彻落实法治宣传教育法为契机，以全面贯彻落实“谁执法谁普法”责任制为抓手，以做好“八五”普法总结经验和“九五”普法谋划为主线，以精准普法、创新形式、基层治理、服务大局为核心，发挥人民法院法治宣传教育在推进依法治市进</w:t>
      </w:r>
      <w:r>
        <w:rPr>
          <w:rFonts w:hint="eastAsia" w:ascii="仿宋_GB2312" w:eastAsia="仿宋_GB2312"/>
          <w:spacing w:val="0"/>
          <w:sz w:val="32"/>
          <w:szCs w:val="32"/>
        </w:rPr>
        <w:t>程、增强公民法治意识、提升社会治理法治化水平等方面的</w:t>
      </w:r>
      <w:r>
        <w:rPr>
          <w:rFonts w:hint="eastAsia" w:ascii="仿宋_GB2312"/>
          <w:spacing w:val="0"/>
          <w:sz w:val="32"/>
          <w:szCs w:val="32"/>
          <w:lang w:eastAsia="zh-CN"/>
        </w:rPr>
        <w:t>职能</w:t>
      </w:r>
      <w:r>
        <w:rPr>
          <w:rFonts w:hint="eastAsia" w:ascii="仿宋_GB2312" w:eastAsia="仿宋_GB2312"/>
          <w:spacing w:val="0"/>
          <w:sz w:val="32"/>
          <w:szCs w:val="32"/>
        </w:rPr>
        <w:t>作用</w:t>
      </w:r>
      <w:r>
        <w:rPr>
          <w:rFonts w:hint="eastAsia" w:ascii="仿宋_GB2312"/>
          <w:spacing w:val="0"/>
          <w:sz w:val="32"/>
          <w:szCs w:val="32"/>
          <w:lang w:eastAsia="zh-CN"/>
        </w:rPr>
        <w:t>，</w:t>
      </w:r>
      <w:r>
        <w:rPr>
          <w:rFonts w:hint="eastAsia" w:ascii="仿宋_GB2312" w:hAnsi="仿宋_GB2312" w:eastAsia="仿宋_GB2312" w:cs="仿宋_GB2312"/>
          <w:color w:val="000000"/>
          <w:spacing w:val="0"/>
          <w:kern w:val="0"/>
          <w:sz w:val="32"/>
          <w:szCs w:val="32"/>
          <w:lang w:val="en-US" w:eastAsia="zh-CN" w:bidi="ar"/>
        </w:rPr>
        <w:t>为奋力谱写建设先行区和继续建设美丽新宁夏的灵武新篇营造良好的法治环境</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pacing w:val="0"/>
        </w:rPr>
      </w:pPr>
      <w:r>
        <w:rPr>
          <w:rFonts w:hint="eastAsia" w:ascii="仿宋_GB2312" w:hAnsi="仿宋_GB2312" w:eastAsia="仿宋_GB2312" w:cs="仿宋_GB2312"/>
          <w:b w:val="0"/>
          <w:bCs w:val="0"/>
          <w:spacing w:val="0"/>
          <w:sz w:val="32"/>
          <w:szCs w:val="32"/>
          <w:lang w:eastAsia="zh-CN"/>
        </w:rPr>
        <w:t>结合本院工作实际，制定</w:t>
      </w:r>
      <w:r>
        <w:rPr>
          <w:rFonts w:hint="eastAsia" w:ascii="仿宋_GB2312" w:hAnsi="仿宋_GB2312" w:eastAsia="仿宋_GB2312" w:cs="仿宋_GB2312"/>
          <w:color w:val="000000"/>
          <w:spacing w:val="0"/>
          <w:kern w:val="0"/>
          <w:sz w:val="32"/>
          <w:szCs w:val="32"/>
          <w:lang w:val="en-US" w:eastAsia="zh-CN" w:bidi="ar"/>
        </w:rPr>
        <w:t>2025 年度</w:t>
      </w:r>
      <w:r>
        <w:rPr>
          <w:rFonts w:hint="eastAsia" w:ascii="仿宋_GB2312" w:hAnsi="仿宋_GB2312" w:eastAsia="仿宋_GB2312" w:cs="仿宋_GB2312"/>
          <w:b w:val="0"/>
          <w:bCs/>
          <w:color w:val="000000"/>
          <w:spacing w:val="0"/>
          <w:kern w:val="0"/>
          <w:sz w:val="32"/>
          <w:szCs w:val="32"/>
          <w:lang w:val="en-US" w:eastAsia="zh-CN"/>
        </w:rPr>
        <w:t>普法依法治理</w:t>
      </w:r>
      <w:r>
        <w:rPr>
          <w:rFonts w:hint="eastAsia" w:ascii="仿宋_GB2312" w:hAnsi="仿宋_GB2312" w:eastAsia="仿宋_GB2312" w:cs="仿宋_GB2312"/>
          <w:color w:val="000000"/>
          <w:spacing w:val="0"/>
          <w:kern w:val="0"/>
          <w:sz w:val="32"/>
          <w:szCs w:val="32"/>
          <w:lang w:val="en-US" w:eastAsia="zh-CN" w:bidi="ar"/>
        </w:rPr>
        <w:t>工作要点如下</w:t>
      </w:r>
      <w:r>
        <w:rPr>
          <w:rFonts w:hint="eastAsia" w:ascii="仿宋_GB2312" w:hAnsi="仿宋_GB2312" w:eastAsia="仿宋_GB2312" w:cs="仿宋_GB2312"/>
          <w:b w:val="0"/>
          <w:bCs w:val="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一、坚定不移以习近平法治思想引领法治宣传教育工作方向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（一）不断强化习近平法治思想学习宣传的示范引领。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cs="仿宋_GB2312"/>
          <w:b w:val="0"/>
          <w:bCs w:val="0"/>
          <w:color w:val="000000"/>
          <w:spacing w:val="0"/>
          <w:kern w:val="0"/>
          <w:sz w:val="32"/>
          <w:szCs w:val="32"/>
          <w:lang w:val="en-US" w:eastAsia="zh-CN"/>
        </w:rPr>
        <w:t>将深入学习宣传贯彻习近平法治思想作为法治宣传教育工作的首要任务，牢牢把握正确的政治方向、舆论导向和价值取向。把习近平法治思想作为党组会议、</w:t>
      </w:r>
      <w:r>
        <w:rPr>
          <w:rFonts w:hint="eastAsia" w:ascii="仿宋_GB2312" w:hAnsi="仿宋_GB2312" w:eastAsia="仿宋_GB2312" w:cs="仿宋_GB2312"/>
          <w:b w:val="0"/>
          <w:bCs w:val="0"/>
          <w:color w:val="000000"/>
          <w:spacing w:val="0"/>
          <w:kern w:val="0"/>
          <w:sz w:val="32"/>
          <w:szCs w:val="32"/>
          <w:lang w:val="en-US" w:eastAsia="zh-CN"/>
        </w:rPr>
        <w:t>党组理论</w:t>
      </w:r>
      <w:r>
        <w:rPr>
          <w:rFonts w:hint="eastAsia" w:ascii="仿宋_GB2312" w:hAnsi="仿宋_GB2312" w:cs="仿宋_GB2312"/>
          <w:b w:val="0"/>
          <w:bCs w:val="0"/>
          <w:color w:val="000000"/>
          <w:spacing w:val="0"/>
          <w:kern w:val="0"/>
          <w:sz w:val="32"/>
          <w:szCs w:val="32"/>
          <w:lang w:val="en-US" w:eastAsia="zh-CN"/>
        </w:rPr>
        <w:t>学习中心组</w:t>
      </w:r>
      <w:r>
        <w:rPr>
          <w:rFonts w:hint="eastAsia" w:ascii="仿宋_GB2312" w:hAnsi="仿宋_GB2312" w:eastAsia="仿宋_GB2312" w:cs="仿宋_GB2312"/>
          <w:b w:val="0"/>
          <w:bCs w:val="0"/>
          <w:color w:val="000000"/>
          <w:spacing w:val="0"/>
          <w:kern w:val="0"/>
          <w:sz w:val="32"/>
          <w:szCs w:val="32"/>
          <w:lang w:val="en-US" w:eastAsia="zh-CN"/>
        </w:rPr>
        <w:t>会</w:t>
      </w:r>
      <w:r>
        <w:rPr>
          <w:rFonts w:hint="eastAsia" w:ascii="仿宋_GB2312" w:hAnsi="仿宋_GB2312" w:cs="仿宋_GB2312"/>
          <w:b w:val="0"/>
          <w:bCs w:val="0"/>
          <w:color w:val="000000"/>
          <w:spacing w:val="0"/>
          <w:kern w:val="0"/>
          <w:sz w:val="32"/>
          <w:szCs w:val="32"/>
          <w:lang w:val="en-US" w:eastAsia="zh-CN"/>
        </w:rPr>
        <w:t>等会前学法的重要内容。</w:t>
      </w:r>
      <w:r>
        <w:rPr>
          <w:rFonts w:hint="eastAsia" w:ascii="仿宋_GB2312" w:hAnsi="仿宋_GB2312" w:eastAsia="仿宋_GB2312" w:cs="仿宋_GB2312"/>
          <w:b w:val="0"/>
          <w:bCs w:val="0"/>
          <w:color w:val="000000"/>
          <w:spacing w:val="0"/>
          <w:kern w:val="0"/>
          <w:sz w:val="32"/>
          <w:szCs w:val="32"/>
          <w:lang w:val="en-US" w:eastAsia="zh-CN"/>
        </w:rPr>
        <w:t>把落实普法责任制与学习贯彻党的</w:t>
      </w:r>
      <w:r>
        <w:rPr>
          <w:rFonts w:hint="eastAsia" w:ascii="仿宋_GB2312" w:hAnsi="仿宋_GB2312" w:cs="仿宋_GB2312"/>
          <w:b w:val="0"/>
          <w:bCs w:val="0"/>
          <w:color w:val="000000"/>
          <w:spacing w:val="0"/>
          <w:kern w:val="0"/>
          <w:sz w:val="32"/>
          <w:szCs w:val="32"/>
          <w:lang w:val="en-US" w:eastAsia="zh-CN"/>
        </w:rPr>
        <w:t>二十大、二十届二中、三中全会</w:t>
      </w:r>
      <w:r>
        <w:rPr>
          <w:rFonts w:hint="eastAsia" w:ascii="仿宋_GB2312" w:hAnsi="仿宋_GB2312" w:eastAsia="仿宋_GB2312" w:cs="仿宋_GB2312"/>
          <w:b w:val="0"/>
          <w:bCs w:val="0"/>
          <w:color w:val="000000"/>
          <w:spacing w:val="0"/>
          <w:kern w:val="0"/>
          <w:sz w:val="32"/>
          <w:szCs w:val="32"/>
          <w:lang w:val="en-US" w:eastAsia="zh-CN"/>
        </w:rPr>
        <w:t>精神结合起来，切实提高对落实“谁执法谁普法”普法责任制重要性的认识，全面落实普法主体责任，健全工作制度，加强督促检查，注重分工配合，不断推进人民法院普法工作深入开展，形成“属地管理、分级负责、整体联动”的工作格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宋体" w:eastAsia="仿宋_GB2312" w:cs="仿宋_GB2312"/>
          <w:color w:val="000000"/>
          <w:spacing w:val="0"/>
          <w:kern w:val="0"/>
          <w:sz w:val="31"/>
          <w:szCs w:val="31"/>
          <w:lang w:val="en-US" w:eastAsia="zh-CN" w:bidi="ar"/>
        </w:rPr>
      </w:pPr>
      <w:r>
        <w:rPr>
          <w:rFonts w:hint="eastAsia" w:ascii="仿宋_GB2312" w:hAnsi="宋体" w:eastAsia="仿宋_GB2312" w:cs="仿宋_GB2312"/>
          <w:color w:val="000000"/>
          <w:spacing w:val="0"/>
          <w:kern w:val="0"/>
          <w:sz w:val="31"/>
          <w:szCs w:val="31"/>
          <w:lang w:val="en-US" w:eastAsia="zh-CN" w:bidi="ar"/>
        </w:rPr>
        <w:t xml:space="preserve">责任部门：全院各部门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（二）持续深化习近平法治思想互动式、服务式、场景式传播。</w:t>
      </w:r>
      <w:r>
        <w:rPr>
          <w:rFonts w:hint="eastAsia" w:ascii="仿宋_GB2312" w:hAnsi="仿宋_GB2312" w:cs="仿宋_GB2312"/>
          <w:b w:val="0"/>
          <w:bCs w:val="0"/>
          <w:color w:val="000000"/>
          <w:spacing w:val="0"/>
          <w:kern w:val="0"/>
          <w:sz w:val="32"/>
          <w:szCs w:val="32"/>
          <w:lang w:val="en-US" w:eastAsia="zh-CN"/>
        </w:rPr>
        <w:t>坚持传统和现代手段相结合，推动法治文化阵地建立学习宣传习近平法治思想专区、专栏，健全融“报、网、台、站、端、微、屏”为一体的全媒体法治传播体系，依托信息化平台、微宣讲等，形成全方位、多层次、立体化宣传矩阵，使习近平法治思想学习宣传更接地气、更为群众喜闻乐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宋体" w:eastAsia="仿宋_GB2312" w:cs="仿宋_GB2312"/>
          <w:color w:val="000000"/>
          <w:spacing w:val="0"/>
          <w:kern w:val="0"/>
          <w:sz w:val="31"/>
          <w:szCs w:val="31"/>
          <w:lang w:val="en-US" w:eastAsia="zh-CN" w:bidi="ar"/>
        </w:rPr>
      </w:pPr>
      <w:r>
        <w:rPr>
          <w:rFonts w:hint="eastAsia" w:ascii="仿宋_GB2312" w:hAnsi="宋体" w:eastAsia="仿宋_GB2312" w:cs="仿宋_GB2312"/>
          <w:color w:val="000000"/>
          <w:spacing w:val="0"/>
          <w:kern w:val="0"/>
          <w:sz w:val="31"/>
          <w:szCs w:val="31"/>
          <w:lang w:val="en-US" w:eastAsia="zh-CN" w:bidi="ar"/>
        </w:rPr>
        <w:t>责任部门：全院各部门</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（三）全面宣传学习贯彻习近平法治思想的新举措新成效。</w:t>
      </w:r>
      <w:r>
        <w:rPr>
          <w:rFonts w:hint="eastAsia" w:ascii="仿宋_GB2312" w:hAnsi="仿宋_GB2312" w:cs="仿宋_GB2312"/>
          <w:b w:val="0"/>
          <w:bCs w:val="0"/>
          <w:color w:val="000000"/>
          <w:spacing w:val="0"/>
          <w:kern w:val="0"/>
          <w:sz w:val="32"/>
          <w:szCs w:val="32"/>
          <w:lang w:val="en-US" w:eastAsia="zh-CN"/>
        </w:rPr>
        <w:t>以宣传贯彻落实法治教育法为契机，在全社会广泛宣传法治教育法的原则、内容、普法责任等，为法律的贯彻落实营造浓厚氛围。充分调动全院干警及社会各方力量参与法治宣传，广泛传播我市优秀法治文化，使习近平法治思想大众化传播见行见效，推动法治建设取得新实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责任部门：全院各部门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二、紧紧围绕中心大局开展法治宣传教育重点活动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（四）组织开展法治宣传教育“一月一主题活动”</w:t>
      </w:r>
      <w:r>
        <w:rPr>
          <w:rFonts w:hint="eastAsia" w:ascii="仿宋_GB2312" w:hAnsi="仿宋_GB2312" w:cs="仿宋_GB2312"/>
          <w:b w:val="0"/>
          <w:bCs w:val="0"/>
          <w:color w:val="000000"/>
          <w:spacing w:val="0"/>
          <w:kern w:val="0"/>
          <w:sz w:val="32"/>
          <w:szCs w:val="32"/>
          <w:lang w:val="en-US" w:eastAsia="zh-CN"/>
        </w:rPr>
        <w:t>根据市委、市政府中心工作和全面依法治市部署安排，结合设定的2025年重要宣传时间节点，做好宣传规划，有针对性的开展形式多样的普法宣传活动，广泛宣传各行业各领域与群众利益密切相关的法律法规。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责任部门：全院各部门</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（五）组织开展未成年人保护法治宣传教育专项行动。</w:t>
      </w:r>
      <w:r>
        <w:rPr>
          <w:rFonts w:hint="eastAsia" w:ascii="仿宋_GB2312" w:hAnsi="仿宋_GB2312" w:cs="仿宋_GB2312"/>
          <w:b w:val="0"/>
          <w:bCs w:val="0"/>
          <w:color w:val="000000"/>
          <w:spacing w:val="0"/>
          <w:kern w:val="0"/>
          <w:sz w:val="32"/>
          <w:szCs w:val="32"/>
          <w:lang w:val="en-US" w:eastAsia="zh-CN"/>
        </w:rPr>
        <w:t>围绕未成年人的家庭、学校、网络、社会、司法、政府六大保护，组织开展未成年人保护法治教育专项行动，通过开展送法进校园、模拟法庭、上门开展未成年人家庭教育指导等，以法治方式关爱未成年人健康成长、维护未成年人合法权益。打造“灵秀法萱”未成年人法律保护品牌，开设的“童声传法治”栏目，大力宣传未成年人保护法，增强未成年人的法治观念和自我保护意识，营造全社会关心关爱未成年人的良好法治环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宋体" w:cs="仿宋_GB2312"/>
          <w:color w:val="000000"/>
          <w:spacing w:val="0"/>
          <w:kern w:val="0"/>
          <w:sz w:val="31"/>
          <w:szCs w:val="31"/>
          <w:lang w:val="en-US" w:eastAsia="zh-CN" w:bidi="ar"/>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刑事审判庭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spacing w:val="0"/>
          <w:sz w:val="32"/>
          <w:szCs w:val="32"/>
          <w:lang w:eastAsia="zh-CN"/>
        </w:rPr>
      </w:pPr>
      <w:r>
        <w:rPr>
          <w:rFonts w:hint="eastAsia" w:ascii="楷体_GB2312" w:hAnsi="楷体_GB2312" w:eastAsia="楷体_GB2312" w:cs="楷体_GB2312"/>
          <w:b/>
          <w:bCs/>
          <w:color w:val="000000"/>
          <w:spacing w:val="0"/>
          <w:kern w:val="0"/>
          <w:sz w:val="32"/>
          <w:szCs w:val="32"/>
          <w:lang w:val="en-US" w:eastAsia="zh-CN"/>
        </w:rPr>
        <w:t>（六）组织开展优化法治化营商环境专项普法活动。</w:t>
      </w:r>
      <w:r>
        <w:rPr>
          <w:rFonts w:hint="eastAsia" w:ascii="仿宋_GB2312" w:hAnsi="仿宋_GB2312" w:cs="仿宋_GB2312"/>
          <w:b w:val="0"/>
          <w:bCs w:val="0"/>
          <w:color w:val="000000"/>
          <w:spacing w:val="0"/>
          <w:kern w:val="0"/>
          <w:sz w:val="32"/>
          <w:szCs w:val="32"/>
          <w:lang w:val="en-US" w:eastAsia="zh-CN"/>
        </w:rPr>
        <w:t>把优化法治化营商环境专项普法活动作为普法重点工作进行推进。开展法官“送法进企业”，依托宁东能源化工基地</w:t>
      </w:r>
      <w:r>
        <w:rPr>
          <w:rFonts w:hint="eastAsia" w:ascii="仿宋_GB2312" w:hAnsi="仿宋_GB2312" w:eastAsia="仿宋_GB2312" w:cs="仿宋_GB2312"/>
          <w:spacing w:val="0"/>
          <w:sz w:val="32"/>
          <w:szCs w:val="32"/>
        </w:rPr>
        <w:t>营商环境法治工作中心</w:t>
      </w:r>
      <w:r>
        <w:rPr>
          <w:rFonts w:hint="eastAsia" w:ascii="仿宋_GB2312" w:hAnsi="仿宋_GB2312" w:cs="仿宋_GB2312"/>
          <w:spacing w:val="0"/>
          <w:sz w:val="32"/>
          <w:szCs w:val="32"/>
          <w:lang w:eastAsia="zh-CN"/>
        </w:rPr>
        <w:t>，</w:t>
      </w:r>
      <w:r>
        <w:rPr>
          <w:rFonts w:hint="eastAsia" w:ascii="仿宋_GB2312" w:hAnsi="仿宋_GB2312" w:eastAsia="仿宋_GB2312" w:cs="仿宋_GB2312"/>
          <w:spacing w:val="0"/>
          <w:sz w:val="32"/>
          <w:szCs w:val="32"/>
        </w:rPr>
        <w:t>充分发挥法院职能作用，立足“最多跑一地”工作目标，简化立案流程，</w:t>
      </w:r>
      <w:r>
        <w:rPr>
          <w:rFonts w:hint="eastAsia" w:ascii="仿宋_GB2312" w:hAnsi="仿宋_GB2312" w:cs="仿宋_GB2312"/>
          <w:spacing w:val="0"/>
          <w:sz w:val="32"/>
          <w:szCs w:val="32"/>
          <w:lang w:eastAsia="zh-CN"/>
        </w:rPr>
        <w:t>对</w:t>
      </w:r>
      <w:r>
        <w:rPr>
          <w:rFonts w:hint="eastAsia" w:ascii="仿宋_GB2312" w:hAnsi="仿宋_GB2312" w:eastAsia="仿宋_GB2312" w:cs="仿宋_GB2312"/>
          <w:spacing w:val="0"/>
          <w:sz w:val="32"/>
          <w:szCs w:val="32"/>
        </w:rPr>
        <w:t>涉企司法服务</w:t>
      </w:r>
      <w:r>
        <w:rPr>
          <w:rFonts w:hint="eastAsia" w:ascii="仿宋_GB2312" w:hAnsi="仿宋_GB2312" w:cs="仿宋_GB2312"/>
          <w:spacing w:val="0"/>
          <w:sz w:val="32"/>
          <w:szCs w:val="32"/>
          <w:lang w:eastAsia="zh-CN"/>
        </w:rPr>
        <w:t>实行</w:t>
      </w:r>
      <w:r>
        <w:rPr>
          <w:rFonts w:hint="eastAsia" w:ascii="仿宋_GB2312" w:hAnsi="仿宋_GB2312" w:eastAsia="仿宋_GB2312" w:cs="仿宋_GB2312"/>
          <w:spacing w:val="0"/>
          <w:sz w:val="32"/>
          <w:szCs w:val="32"/>
        </w:rPr>
        <w:t>“六优先”（优先立案、优先送达、优先保全、优先调解、优先审理、优先执行）措施</w:t>
      </w:r>
      <w:r>
        <w:rPr>
          <w:rFonts w:hint="eastAsia" w:ascii="仿宋_GB2312" w:hAnsi="仿宋_GB2312" w:cs="仿宋_GB2312"/>
          <w:spacing w:val="0"/>
          <w:sz w:val="32"/>
          <w:szCs w:val="32"/>
          <w:lang w:eastAsia="zh-CN"/>
        </w:rPr>
        <w:t>。</w:t>
      </w:r>
      <w:r>
        <w:rPr>
          <w:rFonts w:hint="eastAsia" w:ascii="仿宋_GB2312" w:hAnsi="仿宋_GB2312" w:eastAsia="仿宋_GB2312" w:cs="仿宋_GB2312"/>
          <w:spacing w:val="0"/>
          <w:sz w:val="32"/>
          <w:szCs w:val="32"/>
        </w:rPr>
        <w:t>继续发挥“益企航”法治体检中心在纠纷预防、矛盾接纳、纠纷处理等方面的重要作用</w:t>
      </w:r>
      <w:r>
        <w:rPr>
          <w:rFonts w:hint="eastAsia" w:ascii="仿宋_GB2312" w:hAnsi="仿宋_GB2312" w:cs="仿宋_GB2312"/>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宋体" w:cs="仿宋_GB2312"/>
          <w:color w:val="000000"/>
          <w:spacing w:val="0"/>
          <w:kern w:val="0"/>
          <w:sz w:val="31"/>
          <w:szCs w:val="31"/>
          <w:lang w:val="en-US" w:eastAsia="zh-CN" w:bidi="ar"/>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立案庭、综合审判庭、宁东人民法庭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spacing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（七）组织开展“宪法宣传周”、民法典宣传月等集中宣传活动。</w:t>
      </w:r>
      <w:r>
        <w:rPr>
          <w:rFonts w:hint="eastAsia" w:ascii="仿宋_GB2312" w:hAnsi="仿宋_GB2312" w:cs="仿宋_GB2312"/>
          <w:spacing w:val="0"/>
          <w:sz w:val="32"/>
          <w:szCs w:val="32"/>
          <w:lang w:eastAsia="zh-CN"/>
        </w:rPr>
        <w:t>大力弘扬社会主义法治精神，</w:t>
      </w:r>
      <w:r>
        <w:rPr>
          <w:rFonts w:hint="eastAsia" w:ascii="仿宋_GB2312" w:hAnsi="仿宋_GB2312" w:eastAsia="仿宋_GB2312" w:cs="仿宋_GB2312"/>
          <w:b w:val="0"/>
          <w:bCs w:val="0"/>
          <w:color w:val="000000"/>
          <w:spacing w:val="0"/>
          <w:kern w:val="0"/>
          <w:sz w:val="32"/>
          <w:szCs w:val="32"/>
          <w:lang w:val="en-US" w:eastAsia="zh-CN"/>
        </w:rPr>
        <w:t>充分利用国家宪法日、</w:t>
      </w:r>
      <w:r>
        <w:rPr>
          <w:rFonts w:hint="eastAsia" w:ascii="仿宋_GB2312" w:hAnsi="仿宋_GB2312" w:cs="仿宋_GB2312"/>
          <w:spacing w:val="0"/>
          <w:sz w:val="32"/>
          <w:szCs w:val="32"/>
          <w:lang w:val="en-US" w:eastAsia="zh-CN"/>
        </w:rPr>
        <w:t>“宪法宣传周”、“民法典宣传月”、“4</w:t>
      </w:r>
      <w:r>
        <w:rPr>
          <w:rFonts w:hint="eastAsia" w:ascii="仿宋_GB2312" w:hAnsi="仿宋_GB2312" w:eastAsia="仿宋_GB2312" w:cs="仿宋_GB2312"/>
          <w:spacing w:val="0"/>
          <w:sz w:val="32"/>
          <w:szCs w:val="32"/>
          <w:lang w:val="en-US" w:eastAsia="zh-CN"/>
        </w:rPr>
        <w:t>·</w:t>
      </w:r>
      <w:r>
        <w:rPr>
          <w:rFonts w:hint="eastAsia" w:ascii="仿宋_GB2312" w:hAnsi="仿宋_GB2312" w:cs="仿宋_GB2312"/>
          <w:spacing w:val="0"/>
          <w:sz w:val="32"/>
          <w:szCs w:val="32"/>
          <w:lang w:val="en-US" w:eastAsia="zh-CN"/>
        </w:rPr>
        <w:t>15”全民国家安全教育日、</w:t>
      </w:r>
      <w:r>
        <w:rPr>
          <w:rFonts w:hint="eastAsia" w:ascii="仿宋_GB2312" w:hAnsi="仿宋_GB2312" w:eastAsia="仿宋_GB2312" w:cs="仿宋_GB2312"/>
          <w:b w:val="0"/>
          <w:bCs w:val="0"/>
          <w:color w:val="000000"/>
          <w:spacing w:val="0"/>
          <w:kern w:val="0"/>
          <w:sz w:val="32"/>
          <w:szCs w:val="32"/>
          <w:lang w:val="en-US" w:eastAsia="zh-CN"/>
        </w:rPr>
        <w:t>法律颁布实施纪念日等时间节点，积极组织开展富有特色、形式多样、生动有效的公众开放日活动，拍摄微电影或公益广告等形式加大普法宣传力度</w:t>
      </w:r>
      <w:r>
        <w:rPr>
          <w:rFonts w:hint="eastAsia" w:ascii="仿宋_GB2312" w:hAnsi="仿宋_GB2312" w:cs="仿宋_GB2312"/>
          <w:b w:val="0"/>
          <w:bCs w:val="0"/>
          <w:color w:val="000000"/>
          <w:spacing w:val="0"/>
          <w:kern w:val="0"/>
          <w:sz w:val="32"/>
          <w:szCs w:val="32"/>
          <w:lang w:val="en-US" w:eastAsia="zh-CN"/>
        </w:rPr>
        <w:t>，</w:t>
      </w:r>
      <w:r>
        <w:rPr>
          <w:rFonts w:hint="eastAsia" w:ascii="仿宋_GB2312" w:hAnsi="仿宋_GB2312" w:cs="仿宋_GB2312"/>
          <w:spacing w:val="0"/>
          <w:sz w:val="32"/>
          <w:szCs w:val="32"/>
          <w:lang w:val="en-US" w:eastAsia="zh-CN"/>
        </w:rPr>
        <w:t>提高广大群众学法、懂法、用法、守法意识。</w:t>
      </w:r>
      <w:r>
        <w:rPr>
          <w:rFonts w:hint="eastAsia" w:ascii="仿宋_GB2312" w:hAnsi="仿宋_GB2312" w:cs="仿宋_GB2312"/>
          <w:b w:val="0"/>
          <w:bCs w:val="0"/>
          <w:color w:val="000000"/>
          <w:spacing w:val="0"/>
          <w:kern w:val="0"/>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spacing w:val="0"/>
          <w:sz w:val="32"/>
          <w:szCs w:val="32"/>
          <w:lang w:eastAsia="zh-CN"/>
        </w:rPr>
      </w:pPr>
      <w:r>
        <w:rPr>
          <w:rFonts w:hint="eastAsia" w:ascii="楷体_GB2312" w:hAnsi="楷体_GB2312" w:eastAsia="楷体_GB2312" w:cs="楷体_GB2312"/>
          <w:b/>
          <w:bCs/>
          <w:color w:val="000000"/>
          <w:spacing w:val="0"/>
          <w:kern w:val="0"/>
          <w:sz w:val="32"/>
          <w:szCs w:val="32"/>
          <w:lang w:val="en-US" w:eastAsia="zh-CN"/>
        </w:rPr>
        <w:t>（八）紧扣社会和谐稳定开展主题法治宣传。</w:t>
      </w:r>
      <w:r>
        <w:rPr>
          <w:rFonts w:hint="eastAsia" w:ascii="仿宋_GB2312" w:hAnsi="仿宋_GB2312" w:cs="仿宋_GB2312"/>
          <w:spacing w:val="0"/>
          <w:sz w:val="32"/>
          <w:szCs w:val="32"/>
          <w:lang w:eastAsia="zh-CN"/>
        </w:rPr>
        <w:t>开展铸牢中华民族共同体意识、禁毒、扫黑除恶、反电信诈骗等专项法治宣传，大力宣传与社会救助、妇女儿童权益保障、劳动维权、法律援助、民族宗教等相关的法律法规，持续增强人民群众幸福感、安全感。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仿宋_GB2312" w:cs="仿宋_GB2312"/>
          <w:spacing w:val="0"/>
          <w:sz w:val="32"/>
          <w:szCs w:val="32"/>
          <w:lang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spacing w:val="0"/>
          <w:lang w:val="en-US" w:eastAsia="zh-CN"/>
        </w:rPr>
      </w:pPr>
      <w:r>
        <w:rPr>
          <w:rFonts w:hint="eastAsia" w:ascii="黑体" w:hAnsi="黑体" w:eastAsia="黑体" w:cs="黑体"/>
          <w:b w:val="0"/>
          <w:bCs w:val="0"/>
          <w:color w:val="000000"/>
          <w:spacing w:val="0"/>
          <w:kern w:val="0"/>
          <w:sz w:val="32"/>
          <w:szCs w:val="32"/>
          <w:lang w:val="en-US" w:eastAsia="zh-CN"/>
        </w:rPr>
        <w:t>三、不断创新方式方法，推动法治宣传教育工作再上新台阶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(九)明确人民法院普法工作内容。</w:t>
      </w:r>
      <w:r>
        <w:rPr>
          <w:rFonts w:hint="eastAsia" w:ascii="仿宋_GB2312" w:hAnsi="仿宋_GB2312" w:eastAsia="仿宋_GB2312" w:cs="仿宋_GB2312"/>
          <w:b w:val="0"/>
          <w:bCs w:val="0"/>
          <w:color w:val="000000"/>
          <w:spacing w:val="0"/>
          <w:kern w:val="0"/>
          <w:sz w:val="32"/>
          <w:szCs w:val="32"/>
          <w:lang w:val="en-US" w:eastAsia="zh-CN"/>
        </w:rPr>
        <w:t>深入学习宣传习近平新时代中国特色社会主义思想，全面领会和坚央贯彻党中央关于全面依法治国的重要部署，让全院干警成为习近平新时代中国特色社会主义思想的真诚信仰者、自觉践行者和坚定捍卫者；要深入学习宣传以宪法为核心的中国特色社会主义法律体系，形成崇尚宪法、遵守宪法、维护宪法权威的良好氛围；要深入学习宣传党章、党内法规，增强人民法院党员干部的党章党规党纪意识，教育引导人民法院党员干部尊崇党章，以党章为根本遵循，坚决维护党章权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spacing w:val="0"/>
          <w:sz w:val="32"/>
          <w:szCs w:val="32"/>
          <w:lang w:eastAsia="zh-CN"/>
        </w:rPr>
      </w:pPr>
      <w:r>
        <w:rPr>
          <w:rFonts w:hint="eastAsia" w:ascii="楷体_GB2312" w:hAnsi="楷体_GB2312" w:eastAsia="楷体_GB2312" w:cs="楷体_GB2312"/>
          <w:b/>
          <w:bCs/>
          <w:color w:val="000000"/>
          <w:spacing w:val="0"/>
          <w:kern w:val="0"/>
          <w:sz w:val="32"/>
          <w:szCs w:val="32"/>
          <w:lang w:val="en-US" w:eastAsia="zh-CN"/>
        </w:rPr>
        <w:t>（十）强化普法整体联动格局。</w:t>
      </w:r>
      <w:r>
        <w:rPr>
          <w:rFonts w:hint="eastAsia" w:ascii="仿宋_GB2312" w:hAnsi="仿宋_GB2312" w:eastAsia="仿宋_GB2312" w:cs="仿宋_GB2312"/>
          <w:b w:val="0"/>
          <w:bCs w:val="0"/>
          <w:color w:val="000000"/>
          <w:spacing w:val="0"/>
          <w:kern w:val="0"/>
          <w:sz w:val="32"/>
          <w:szCs w:val="32"/>
          <w:lang w:val="en-US" w:eastAsia="zh-CN"/>
        </w:rPr>
        <w:t>普法工作要与司法公开工作紧密</w:t>
      </w:r>
      <w:r>
        <w:rPr>
          <w:rFonts w:hint="eastAsia" w:ascii="仿宋_GB2312" w:hAnsi="仿宋_GB2312" w:eastAsia="仿宋_GB2312" w:cs="仿宋_GB2312"/>
          <w:spacing w:val="0"/>
          <w:sz w:val="32"/>
          <w:szCs w:val="32"/>
          <w:lang w:val="en-US" w:eastAsia="zh-CN"/>
        </w:rPr>
        <w:t>结合起来，充分利用审判流程公开、庭审活动公开、裁判文书公开、执行信</w:t>
      </w:r>
      <w:r>
        <w:rPr>
          <w:rFonts w:hint="eastAsia" w:ascii="仿宋_GB2312" w:hAnsi="仿宋_GB2312" w:eastAsia="仿宋_GB2312" w:cs="仿宋_GB2312"/>
          <w:b w:val="0"/>
          <w:bCs w:val="0"/>
          <w:color w:val="000000"/>
          <w:spacing w:val="0"/>
          <w:kern w:val="0"/>
          <w:sz w:val="32"/>
          <w:szCs w:val="32"/>
          <w:lang w:val="en-US" w:eastAsia="zh-CN"/>
        </w:rPr>
        <w:t>息公开四大平台推动普法工作深入开展。以信息化建设为依托，</w:t>
      </w:r>
      <w:r>
        <w:rPr>
          <w:rFonts w:hint="eastAsia" w:ascii="仿宋_GB2312" w:hAnsi="仿宋_GB2312" w:cs="仿宋_GB2312"/>
          <w:spacing w:val="0"/>
          <w:sz w:val="32"/>
          <w:szCs w:val="32"/>
          <w:lang w:eastAsia="zh-CN"/>
        </w:rPr>
        <w:t>借助</w:t>
      </w:r>
      <w:r>
        <w:rPr>
          <w:rFonts w:hint="eastAsia" w:ascii="仿宋_GB2312" w:hAnsi="仿宋_GB2312" w:eastAsia="仿宋_GB2312" w:cs="仿宋_GB2312"/>
          <w:spacing w:val="0"/>
          <w:sz w:val="32"/>
          <w:szCs w:val="32"/>
        </w:rPr>
        <w:t>“云端”办案、“智慧”执行新模式，</w:t>
      </w:r>
      <w:r>
        <w:rPr>
          <w:rFonts w:hint="eastAsia" w:ascii="仿宋_GB2312" w:hAnsi="仿宋_GB2312" w:cs="仿宋_GB2312"/>
          <w:spacing w:val="0"/>
          <w:sz w:val="32"/>
          <w:szCs w:val="32"/>
          <w:lang w:eastAsia="zh-CN"/>
        </w:rPr>
        <w:t>促进普法工作更加多元便捷。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（十一）健全领导干部学法用法制度。</w:t>
      </w:r>
      <w:r>
        <w:rPr>
          <w:rFonts w:hint="eastAsia" w:ascii="仿宋_GB2312" w:hAnsi="仿宋_GB2312" w:eastAsia="仿宋_GB2312" w:cs="仿宋_GB2312"/>
          <w:b w:val="0"/>
          <w:bCs w:val="0"/>
          <w:color w:val="000000"/>
          <w:spacing w:val="0"/>
          <w:kern w:val="0"/>
          <w:sz w:val="32"/>
          <w:szCs w:val="32"/>
          <w:lang w:val="en-US" w:eastAsia="zh-CN"/>
        </w:rPr>
        <w:t>进一步健全党组理论学习中心组学法制度，不断提升领导干部学法守法用法、依法决策的意识和能力。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政治部、综合办公室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（十二）完善干警日常学法制度。</w:t>
      </w:r>
      <w:r>
        <w:rPr>
          <w:rFonts w:hint="eastAsia" w:ascii="仿宋_GB2312" w:hAnsi="仿宋_GB2312" w:eastAsia="仿宋_GB2312" w:cs="仿宋_GB2312"/>
          <w:b w:val="0"/>
          <w:bCs w:val="0"/>
          <w:color w:val="000000"/>
          <w:spacing w:val="0"/>
          <w:kern w:val="0"/>
          <w:sz w:val="32"/>
          <w:szCs w:val="32"/>
          <w:lang w:val="en-US" w:eastAsia="zh-CN"/>
        </w:rPr>
        <w:t>健全日常学法制度，推进干警学法</w:t>
      </w:r>
      <w:r>
        <w:rPr>
          <w:rFonts w:hint="eastAsia" w:ascii="仿宋_GB2312" w:hAnsi="仿宋_GB2312" w:cs="仿宋_GB2312"/>
          <w:b w:val="0"/>
          <w:bCs w:val="0"/>
          <w:color w:val="000000"/>
          <w:spacing w:val="0"/>
          <w:kern w:val="0"/>
          <w:sz w:val="32"/>
          <w:szCs w:val="32"/>
          <w:lang w:val="en-US" w:eastAsia="zh-CN"/>
        </w:rPr>
        <w:t>常天华</w:t>
      </w:r>
      <w:r>
        <w:rPr>
          <w:rFonts w:hint="eastAsia" w:ascii="仿宋_GB2312" w:hAnsi="仿宋_GB2312" w:eastAsia="仿宋_GB2312" w:cs="仿宋_GB2312"/>
          <w:b w:val="0"/>
          <w:bCs w:val="0"/>
          <w:color w:val="000000"/>
          <w:spacing w:val="0"/>
          <w:kern w:val="0"/>
          <w:sz w:val="32"/>
          <w:szCs w:val="32"/>
          <w:lang w:val="en-US" w:eastAsia="zh-CN"/>
        </w:rPr>
        <w:t>。严格落实中共中央《干部教育培训工作条例》要求，充分利用</w:t>
      </w:r>
      <w:r>
        <w:rPr>
          <w:rFonts w:hint="eastAsia" w:ascii="仿宋_GB2312" w:hAnsi="仿宋_GB2312" w:cs="仿宋_GB2312"/>
          <w:b w:val="0"/>
          <w:bCs w:val="0"/>
          <w:color w:val="000000"/>
          <w:spacing w:val="0"/>
          <w:kern w:val="0"/>
          <w:sz w:val="32"/>
          <w:szCs w:val="32"/>
          <w:lang w:val="en-US" w:eastAsia="zh-CN"/>
        </w:rPr>
        <w:t>学习强国、</w:t>
      </w:r>
      <w:r>
        <w:rPr>
          <w:rFonts w:hint="eastAsia" w:ascii="仿宋_GB2312" w:hAnsi="仿宋_GB2312" w:eastAsia="仿宋_GB2312" w:cs="仿宋_GB2312"/>
          <w:b w:val="0"/>
          <w:bCs w:val="0"/>
          <w:color w:val="000000"/>
          <w:spacing w:val="0"/>
          <w:kern w:val="0"/>
          <w:sz w:val="32"/>
          <w:szCs w:val="32"/>
          <w:lang w:val="en-US" w:eastAsia="zh-CN"/>
        </w:rPr>
        <w:t>法宣在线平台，加强学习宪法法律、党内法规的考核，将学习情况作为评估年度工作绩效的重要内容。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（十三）运用新媒体加大普法宣传力度。</w:t>
      </w:r>
      <w:r>
        <w:rPr>
          <w:rFonts w:hint="eastAsia" w:ascii="仿宋_GB2312" w:hAnsi="仿宋_GB2312" w:eastAsia="仿宋_GB2312" w:cs="仿宋_GB2312"/>
          <w:b w:val="0"/>
          <w:bCs w:val="0"/>
          <w:color w:val="000000"/>
          <w:spacing w:val="0"/>
          <w:kern w:val="0"/>
          <w:sz w:val="32"/>
          <w:szCs w:val="32"/>
          <w:lang w:val="en-US" w:eastAsia="zh-CN"/>
        </w:rPr>
        <w:t>通过新媒体进行普法宣传，在普及法律知识的同时，更加注重弘扬法治精神、培育法治理念、树立法治意识，大力宣传宪法法律至上、法律面前人人平等、罪刑法定、证据裁判、疑罪从无、程序正义等法治理念，充分发挥法治理念的价值引领和精神熏陶作用，确保普法工作取得良好社会反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(十四)大力开展法官以案释法工作。</w:t>
      </w:r>
      <w:r>
        <w:rPr>
          <w:rFonts w:hint="eastAsia" w:ascii="仿宋_GB2312" w:hAnsi="仿宋_GB2312" w:eastAsia="仿宋_GB2312" w:cs="仿宋_GB2312"/>
          <w:b w:val="0"/>
          <w:bCs w:val="0"/>
          <w:color w:val="000000"/>
          <w:spacing w:val="0"/>
          <w:kern w:val="0"/>
          <w:sz w:val="32"/>
          <w:szCs w:val="32"/>
          <w:lang w:val="en-US" w:eastAsia="zh-CN"/>
        </w:rPr>
        <w:t>在诉讼活动中，根据案件情况，在保守审判秘密和遵守审判纪律的前提下，利用办案的各个环节有针对性的进行法律解读，及时释疑解惑，使案件审判、纠纷调解和法律服务成为向人民群众普法的过程；要增强裁判文书的说理性，及时按照规定将裁判文书上传裁判文书网；要通过巡回审判、庭审直播、专家解读、宣讲团等形式开展以案释法。要求各部门每个月报送一篇以上高质量具有典型普法意义的案例或法治宣传教育活动案例。</w:t>
      </w:r>
      <w:r>
        <w:rPr>
          <w:rFonts w:hint="eastAsia" w:ascii="仿宋_GB2312" w:hAnsi="仿宋_GB2312" w:cs="仿宋_GB2312"/>
          <w:b w:val="0"/>
          <w:bCs w:val="0"/>
          <w:color w:val="000000"/>
          <w:spacing w:val="0"/>
          <w:kern w:val="0"/>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spacing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（十五）建好用好法治宣传教育基地。</w:t>
      </w:r>
      <w:r>
        <w:rPr>
          <w:rFonts w:hint="eastAsia" w:ascii="仿宋_GB2312" w:hAnsi="仿宋_GB2312" w:eastAsia="仿宋_GB2312" w:cs="仿宋_GB2312"/>
          <w:spacing w:val="0"/>
          <w:sz w:val="32"/>
          <w:szCs w:val="32"/>
        </w:rPr>
        <w:t>依托新时代文明实践中心、</w:t>
      </w:r>
      <w:r>
        <w:rPr>
          <w:rFonts w:hint="eastAsia" w:ascii="仿宋_GB2312" w:hAnsi="仿宋_GB2312" w:cs="仿宋_GB2312"/>
          <w:spacing w:val="0"/>
          <w:sz w:val="32"/>
          <w:szCs w:val="32"/>
          <w:lang w:eastAsia="zh-CN"/>
        </w:rPr>
        <w:t>青少年法治教育中心</w:t>
      </w:r>
      <w:r>
        <w:rPr>
          <w:rFonts w:hint="eastAsia" w:ascii="仿宋_GB2312" w:hAnsi="仿宋_GB2312" w:eastAsia="仿宋_GB2312" w:cs="仿宋_GB2312"/>
          <w:spacing w:val="0"/>
          <w:sz w:val="32"/>
          <w:szCs w:val="32"/>
        </w:rPr>
        <w:t>、村（社区）公共法律</w:t>
      </w:r>
      <w:r>
        <w:rPr>
          <w:rFonts w:hint="eastAsia" w:ascii="仿宋_GB2312" w:hAnsi="仿宋_GB2312" w:eastAsia="仿宋_GB2312" w:cs="仿宋_GB2312"/>
          <w:spacing w:val="0"/>
          <w:sz w:val="32"/>
          <w:szCs w:val="32"/>
          <w:lang w:eastAsia="zh-CN"/>
        </w:rPr>
        <w:t>服务</w:t>
      </w:r>
      <w:r>
        <w:rPr>
          <w:rFonts w:hint="eastAsia" w:ascii="仿宋_GB2312" w:hAnsi="仿宋_GB2312" w:eastAsia="仿宋_GB2312" w:cs="仿宋_GB2312"/>
          <w:spacing w:val="0"/>
          <w:sz w:val="32"/>
          <w:szCs w:val="32"/>
        </w:rPr>
        <w:t>工作室等阵地，</w:t>
      </w:r>
      <w:r>
        <w:rPr>
          <w:rFonts w:hint="eastAsia" w:ascii="仿宋_GB2312" w:hAnsi="仿宋_GB2312" w:eastAsia="仿宋_GB2312" w:cs="仿宋_GB2312"/>
          <w:spacing w:val="0"/>
          <w:sz w:val="32"/>
          <w:szCs w:val="32"/>
          <w:lang w:eastAsia="zh-CN"/>
        </w:rPr>
        <w:t>充分发挥先进典型的示范和带动作用，推进普法责任制工作不断向纵深发展。</w:t>
      </w:r>
      <w:r>
        <w:rPr>
          <w:rFonts w:hint="eastAsia" w:ascii="仿宋_GB2312" w:hAnsi="仿宋_GB2312" w:cs="仿宋_GB2312"/>
          <w:spacing w:val="0"/>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spacing w:val="0"/>
        </w:rPr>
      </w:pPr>
      <w:r>
        <w:rPr>
          <w:rFonts w:hint="eastAsia" w:ascii="仿宋_GB2312" w:hAnsi="宋体" w:eastAsia="仿宋_GB2312" w:cs="仿宋_GB2312"/>
          <w:color w:val="000000"/>
          <w:spacing w:val="0"/>
          <w:kern w:val="0"/>
          <w:sz w:val="31"/>
          <w:szCs w:val="31"/>
          <w:lang w:val="en-US" w:eastAsia="zh-CN" w:bidi="ar"/>
        </w:rPr>
        <w:t xml:space="preserve">牵头部门：政治部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仿宋_GB2312" w:eastAsia="仿宋_GB2312" w:cs="仿宋_GB2312"/>
          <w:spacing w:val="0"/>
          <w:lang w:val="en-US" w:eastAsia="zh-CN"/>
        </w:rPr>
      </w:pPr>
      <w:r>
        <w:rPr>
          <w:rFonts w:hint="eastAsia" w:ascii="仿宋_GB2312" w:hAnsi="宋体" w:eastAsia="仿宋_GB2312" w:cs="仿宋_GB2312"/>
          <w:color w:val="000000"/>
          <w:spacing w:val="0"/>
          <w:kern w:val="0"/>
          <w:sz w:val="31"/>
          <w:szCs w:val="31"/>
          <w:lang w:val="en-US" w:eastAsia="zh-CN" w:bidi="ar"/>
        </w:rPr>
        <w:t>责任部门：</w:t>
      </w:r>
      <w:r>
        <w:rPr>
          <w:rFonts w:hint="eastAsia" w:ascii="仿宋_GB2312" w:hAnsi="宋体" w:cs="仿宋_GB2312"/>
          <w:color w:val="000000"/>
          <w:spacing w:val="0"/>
          <w:kern w:val="0"/>
          <w:sz w:val="31"/>
          <w:szCs w:val="31"/>
          <w:lang w:val="en-US" w:eastAsia="zh-CN" w:bidi="ar"/>
        </w:rPr>
        <w:t>全院各部门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0"/>
          <w:sz w:val="32"/>
          <w:szCs w:val="32"/>
          <w:lang w:val="en-US" w:eastAsia="zh-CN"/>
        </w:rPr>
      </w:pPr>
      <w:r>
        <w:rPr>
          <w:rFonts w:hint="eastAsia" w:ascii="黑体" w:hAnsi="黑体" w:eastAsia="黑体" w:cs="黑体"/>
          <w:b w:val="0"/>
          <w:bCs w:val="0"/>
          <w:color w:val="000000"/>
          <w:spacing w:val="0"/>
          <w:kern w:val="0"/>
          <w:sz w:val="32"/>
          <w:szCs w:val="32"/>
          <w:lang w:val="en-US" w:eastAsia="zh-CN"/>
        </w:rPr>
        <w:t>四、加强组织领导，不断促进普法责任制的落实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(十七)明确普法责任。</w:t>
      </w:r>
      <w:r>
        <w:rPr>
          <w:rFonts w:hint="eastAsia" w:ascii="仿宋_GB2312" w:hAnsi="仿宋_GB2312" w:eastAsia="仿宋_GB2312" w:cs="仿宋_GB2312"/>
          <w:b w:val="0"/>
          <w:bCs w:val="0"/>
          <w:color w:val="000000"/>
          <w:spacing w:val="0"/>
          <w:kern w:val="0"/>
          <w:sz w:val="32"/>
          <w:szCs w:val="32"/>
          <w:lang w:val="en-US" w:eastAsia="zh-CN"/>
        </w:rPr>
        <w:t>各部门要把普法工作作为法治建设的基础性工作抓紧抓好，融入到各项工作中去，纳入工作整体布局，要与审判执行工作同部署、同检查、同落实。要牢固树立干警全员参与、人人有责的理念。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(十八)建立考核标准。</w:t>
      </w:r>
      <w:r>
        <w:rPr>
          <w:rFonts w:hint="eastAsia" w:ascii="仿宋_GB2312" w:hAnsi="仿宋_GB2312" w:eastAsia="仿宋_GB2312" w:cs="仿宋_GB2312"/>
          <w:b w:val="0"/>
          <w:bCs w:val="0"/>
          <w:color w:val="000000"/>
          <w:spacing w:val="0"/>
          <w:kern w:val="0"/>
          <w:sz w:val="32"/>
          <w:szCs w:val="32"/>
          <w:lang w:val="en-US" w:eastAsia="zh-CN"/>
        </w:rPr>
        <w:t>把普法工作纳入绩效考核，纳入法治建设和文明单位创建</w:t>
      </w:r>
      <w:r>
        <w:rPr>
          <w:rFonts w:hint="eastAsia" w:ascii="仿宋_GB2312" w:hAnsi="仿宋_GB2312" w:cs="仿宋_GB2312"/>
          <w:b w:val="0"/>
          <w:bCs w:val="0"/>
          <w:color w:val="000000"/>
          <w:spacing w:val="0"/>
          <w:kern w:val="0"/>
          <w:sz w:val="32"/>
          <w:szCs w:val="32"/>
          <w:lang w:val="en-US" w:eastAsia="zh-CN"/>
        </w:rPr>
        <w:t>工作之</w:t>
      </w:r>
      <w:r>
        <w:rPr>
          <w:rFonts w:hint="eastAsia" w:ascii="仿宋_GB2312" w:hAnsi="仿宋_GB2312" w:eastAsia="仿宋_GB2312" w:cs="仿宋_GB2312"/>
          <w:b w:val="0"/>
          <w:bCs w:val="0"/>
          <w:color w:val="000000"/>
          <w:spacing w:val="0"/>
          <w:kern w:val="0"/>
          <w:sz w:val="32"/>
          <w:szCs w:val="32"/>
          <w:lang w:val="en-US" w:eastAsia="zh-CN"/>
        </w:rPr>
        <w:t>中。对责任落实到位、普法工作成效显著的部门和个人，予以表彰奖励。对责任落实不到位、普法目标未完成的部门和个人予以通报。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(十九)强化工作指导。</w:t>
      </w:r>
      <w:r>
        <w:rPr>
          <w:rFonts w:hint="eastAsia" w:ascii="仿宋_GB2312" w:hAnsi="仿宋_GB2312" w:eastAsia="仿宋_GB2312" w:cs="仿宋_GB2312"/>
          <w:b w:val="0"/>
          <w:bCs w:val="0"/>
          <w:color w:val="000000"/>
          <w:spacing w:val="0"/>
          <w:kern w:val="0"/>
          <w:sz w:val="32"/>
          <w:szCs w:val="32"/>
          <w:lang w:val="en-US" w:eastAsia="zh-CN"/>
        </w:rPr>
        <w:t>院领导要深入基层、深入群众调查研究，加强督导力度，积极解决问题，努力推进普法工作。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lang w:val="en-US" w:eastAsia="zh-CN"/>
        </w:rPr>
        <w:t>(二十)加强工作保障。</w:t>
      </w:r>
      <w:r>
        <w:rPr>
          <w:rFonts w:hint="eastAsia" w:ascii="仿宋_GB2312" w:hAnsi="仿宋_GB2312" w:eastAsia="仿宋_GB2312" w:cs="仿宋_GB2312"/>
          <w:b w:val="0"/>
          <w:bCs w:val="0"/>
          <w:color w:val="000000"/>
          <w:spacing w:val="0"/>
          <w:kern w:val="0"/>
          <w:sz w:val="32"/>
          <w:szCs w:val="32"/>
          <w:lang w:val="en-US" w:eastAsia="zh-CN"/>
        </w:rPr>
        <w:t>要及时研究普法工作的重大问题，加强人员、经费、物质保障，为普法工作创造条件。</w:t>
      </w:r>
    </w:p>
    <w:p>
      <w:pPr>
        <w:pStyle w:val="5"/>
        <w:keepNext w:val="0"/>
        <w:keepLines w:val="0"/>
        <w:pageBreakBefore w:val="0"/>
        <w:kinsoku/>
        <w:wordWrap/>
        <w:overflowPunct/>
        <w:topLinePunct w:val="0"/>
        <w:autoSpaceDE/>
        <w:autoSpaceDN/>
        <w:bidi w:val="0"/>
        <w:adjustRightInd/>
        <w:snapToGrid/>
        <w:spacing w:after="0" w:line="560" w:lineRule="exact"/>
        <w:ind w:left="1600" w:leftChars="200" w:hanging="960" w:hangingChars="3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附件：1.2025年灵武市人民法院“谁执法谁普法”四个清单分解表</w:t>
      </w:r>
    </w:p>
    <w:bookmarkEnd w:id="0"/>
    <w:p>
      <w:pPr>
        <w:rPr>
          <w:rFonts w:hint="eastAsia" w:ascii="仿宋_GB2312" w:hAnsi="仿宋_GB2312" w:eastAsia="仿宋_GB2312" w:cs="仿宋_GB2312"/>
          <w:spacing w:val="0"/>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61" w:firstLineChars="17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b w:val="0"/>
          <w:bCs w:val="0"/>
          <w:color w:val="000000"/>
          <w:spacing w:val="0"/>
          <w:kern w:val="0"/>
          <w:sz w:val="32"/>
          <w:szCs w:val="32"/>
          <w:lang w:val="en-US" w:eastAsia="zh-CN"/>
        </w:rPr>
        <w:t>灵武市人民法院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pacing w:val="0"/>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202</w:t>
      </w:r>
      <w:r>
        <w:rPr>
          <w:rFonts w:hint="eastAsia" w:ascii="仿宋_GB2312" w:hAnsi="仿宋_GB2312" w:cs="仿宋_GB2312"/>
          <w:spacing w:val="0"/>
          <w:sz w:val="32"/>
          <w:szCs w:val="32"/>
          <w:lang w:val="en-US" w:eastAsia="zh-CN"/>
        </w:rPr>
        <w:t>5</w:t>
      </w:r>
      <w:r>
        <w:rPr>
          <w:rFonts w:hint="eastAsia" w:ascii="仿宋_GB2312" w:hAnsi="仿宋_GB2312" w:eastAsia="仿宋_GB2312" w:cs="仿宋_GB2312"/>
          <w:spacing w:val="0"/>
          <w:sz w:val="32"/>
          <w:szCs w:val="32"/>
          <w:lang w:val="en-US" w:eastAsia="zh-CN"/>
        </w:rPr>
        <w:t>年4月1</w:t>
      </w:r>
      <w:r>
        <w:rPr>
          <w:rFonts w:hint="eastAsia" w:ascii="仿宋_GB2312" w:hAnsi="仿宋_GB2312" w:cs="仿宋_GB2312"/>
          <w:spacing w:val="0"/>
          <w:sz w:val="32"/>
          <w:szCs w:val="32"/>
          <w:lang w:val="en-US" w:eastAsia="zh-CN"/>
        </w:rPr>
        <w:t>7</w:t>
      </w:r>
      <w:r>
        <w:rPr>
          <w:rFonts w:hint="eastAsia" w:ascii="仿宋_GB2312" w:hAnsi="仿宋_GB2312" w:eastAsia="仿宋_GB2312" w:cs="仿宋_GB2312"/>
          <w:spacing w:val="0"/>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spacing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E6EEF"/>
    <w:rsid w:val="02B138A7"/>
    <w:rsid w:val="1B7F650D"/>
    <w:rsid w:val="25AE6EEF"/>
    <w:rsid w:val="32D94DDF"/>
    <w:rsid w:val="35873BCA"/>
    <w:rsid w:val="49B41C79"/>
    <w:rsid w:val="5AF862ED"/>
    <w:rsid w:val="6A777425"/>
    <w:rsid w:val="72967FCA"/>
    <w:rsid w:val="7C056D9F"/>
    <w:rsid w:val="7E67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ody Text Indent"/>
    <w:basedOn w:val="1"/>
    <w:unhideWhenUsed/>
    <w:qFormat/>
    <w:uiPriority w:val="0"/>
    <w:pPr>
      <w:widowControl w:val="0"/>
      <w:adjustRightInd/>
      <w:snapToGrid/>
      <w:spacing w:after="120"/>
      <w:ind w:left="420" w:leftChars="200"/>
      <w:jc w:val="both"/>
    </w:pPr>
    <w:rPr>
      <w:rFonts w:ascii="Calibri" w:hAnsi="Calibri" w:eastAsia="宋体" w:cs="Times New Roman"/>
      <w:kern w:val="2"/>
      <w:sz w:val="21"/>
      <w:szCs w:val="24"/>
    </w:rPr>
  </w:style>
  <w:style w:type="paragraph" w:styleId="4">
    <w:name w:val="footer"/>
    <w:basedOn w:val="1"/>
    <w:next w:val="1"/>
    <w:semiHidden/>
    <w:unhideWhenUsed/>
    <w:qFormat/>
    <w:uiPriority w:val="99"/>
    <w:pPr>
      <w:tabs>
        <w:tab w:val="center" w:pos="4153"/>
        <w:tab w:val="right" w:pos="8306"/>
      </w:tabs>
      <w:snapToGrid w:val="0"/>
      <w:jc w:val="left"/>
    </w:pPr>
    <w:rPr>
      <w:sz w:val="18"/>
      <w:szCs w:val="18"/>
    </w:rPr>
  </w:style>
  <w:style w:type="paragraph" w:styleId="5">
    <w:name w:val="Body Text First Indent 2"/>
    <w:basedOn w:val="3"/>
    <w:next w:val="1"/>
    <w:qFormat/>
    <w:uiPriority w:val="0"/>
    <w:pPr>
      <w:ind w:left="200" w:firstLine="420" w:firstLineChars="200"/>
    </w:pPr>
    <w:rPr>
      <w:rFonts w:ascii="Times New Roman" w:eastAsia="楷体_GB2312"/>
      <w:sz w:val="32"/>
    </w:rPr>
  </w:style>
  <w:style w:type="paragraph" w:customStyle="1" w:styleId="8">
    <w:name w:val="Body Text First Indent 21"/>
    <w:basedOn w:val="9"/>
    <w:qFormat/>
    <w:uiPriority w:val="99"/>
    <w:pPr>
      <w:ind w:left="200" w:firstLine="420" w:firstLineChars="200"/>
    </w:pPr>
    <w:rPr>
      <w:rFonts w:eastAsia="仿宋"/>
    </w:rPr>
  </w:style>
  <w:style w:type="paragraph" w:customStyle="1" w:styleId="9">
    <w:name w:val="Body Text Indent1"/>
    <w:basedOn w:val="1"/>
    <w:qFormat/>
    <w:uiPriority w:val="99"/>
    <w:pPr>
      <w:ind w:left="420" w:leftChars="200"/>
    </w:pPr>
    <w:rPr>
      <w:rFonts w:ascii="Calibri" w:hAnsi="Calibri" w:eastAsia="宋体" w:cs="Calibri"/>
      <w:szCs w:val="21"/>
    </w:rPr>
  </w:style>
  <w:style w:type="paragraph" w:customStyle="1" w:styleId="10">
    <w:name w:val="样式1"/>
    <w:basedOn w:val="4"/>
    <w:qFormat/>
    <w:uiPriority w:val="0"/>
    <w:pPr>
      <w:widowControl/>
      <w:spacing w:before="260" w:after="260" w:line="413" w:lineRule="auto"/>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2024-12-27T01:52:00Z</dcterms:created>
  <dc:creator>万户网络</dc:creator>
  <cp:lastModifiedBy>Administrator</cp:lastModifiedBy>
  <dcterms:modified xsi:type="dcterms:W3CDTF">2025-04-18T03:33:48Z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